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w:t>
      </w:r>
      <w:r w:rsidR="00291D98">
        <w:rPr>
          <w:rFonts w:ascii="Book Antiqua" w:hAnsi="Book Antiqua"/>
          <w:b/>
        </w:rPr>
        <w:t>I</w:t>
      </w:r>
      <w:r w:rsidRPr="00D66234">
        <w:rPr>
          <w:rFonts w:ascii="Book Antiqua" w:hAnsi="Book Antiqua"/>
          <w:b/>
        </w:rPr>
        <w:t xml:space="preserve">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r w:rsidR="008F6C62">
        <w:rPr>
          <w:rFonts w:ascii="Book Antiqua" w:hAnsi="Book Antiqua"/>
        </w:rPr>
        <w:t xml:space="preserve"> </w:t>
      </w:r>
      <w:r w:rsidR="008F6C62">
        <w:t>A Administração poderá promover diligências para verificação da autenticidade dos documentos apresentados, nos termos do art. 64 da Lei nº 14.133/2021.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lastRenderedPageBreak/>
        <w:t xml:space="preserve">Certidão Negativa de </w:t>
      </w:r>
      <w:proofErr w:type="gramStart"/>
      <w:r w:rsidRPr="00233B22">
        <w:rPr>
          <w:b/>
          <w:lang w:eastAsia="en-US"/>
        </w:rPr>
        <w:t>Falência</w:t>
      </w:r>
      <w:r w:rsidR="00434F1E">
        <w:rPr>
          <w:b/>
          <w:lang w:eastAsia="en-US"/>
        </w:rPr>
        <w:t xml:space="preserve"> </w:t>
      </w:r>
      <w:r w:rsidRPr="00233B22">
        <w:rPr>
          <w:b/>
          <w:lang w:eastAsia="en-US"/>
        </w:rPr>
        <w:t xml:space="preserve"> </w:t>
      </w:r>
      <w:r w:rsidRPr="00233B22">
        <w:rPr>
          <w:lang w:eastAsia="en-US"/>
        </w:rPr>
        <w:t>–</w:t>
      </w:r>
      <w:proofErr w:type="gramEnd"/>
      <w:r w:rsidRPr="00233B22">
        <w:rPr>
          <w:lang w:eastAsia="en-US"/>
        </w:rPr>
        <w:t xml:space="preserve">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3F33D0" w:rsidRDefault="003F33D0" w:rsidP="003F33D0">
      <w:pPr>
        <w:jc w:val="center"/>
        <w:rPr>
          <w:rFonts w:ascii="Book Antiqua" w:hAnsi="Book Antiqua"/>
        </w:rPr>
      </w:pPr>
      <w:r>
        <w:rPr>
          <w:rFonts w:ascii="Book Antiqua" w:hAnsi="Book Antiqua"/>
        </w:rPr>
        <w:t>DEMAIS DOCUMENTOS TÉCNICOS</w:t>
      </w:r>
    </w:p>
    <w:p w:rsidR="003F33D0" w:rsidRPr="00AC51D2" w:rsidRDefault="003F33D0" w:rsidP="003F33D0">
      <w:pPr>
        <w:pStyle w:val="PargrafodaLista"/>
        <w:widowControl/>
        <w:numPr>
          <w:ilvl w:val="0"/>
          <w:numId w:val="15"/>
        </w:numPr>
        <w:shd w:val="clear" w:color="auto" w:fill="FFFFFF"/>
        <w:autoSpaceDE/>
        <w:autoSpaceDN/>
        <w:rPr>
          <w:rFonts w:ascii="Book Antiqua" w:hAnsi="Book Antiqua"/>
        </w:rPr>
      </w:pPr>
      <w:r w:rsidRPr="00AC51D2">
        <w:rPr>
          <w:rFonts w:ascii="Book Antiqua" w:hAnsi="Book Antiqua"/>
        </w:rPr>
        <w:t>A empresa deve estar </w:t>
      </w:r>
      <w:r w:rsidRPr="00AC51D2">
        <w:rPr>
          <w:rFonts w:ascii="Book Antiqua" w:hAnsi="Book Antiqua"/>
          <w:bCs/>
        </w:rPr>
        <w:t xml:space="preserve">registrada </w:t>
      </w:r>
      <w:r w:rsidRPr="00AC51D2">
        <w:rPr>
          <w:rFonts w:ascii="Book Antiqua" w:hAnsi="Book Antiqua"/>
        </w:rPr>
        <w:t>junto ao </w:t>
      </w:r>
      <w:r w:rsidRPr="00AC51D2">
        <w:rPr>
          <w:rFonts w:ascii="Book Antiqua" w:hAnsi="Book Antiqua"/>
          <w:bCs/>
        </w:rPr>
        <w:t>conselho profissional</w:t>
      </w:r>
      <w:r w:rsidRPr="00AC51D2">
        <w:rPr>
          <w:rFonts w:ascii="Book Antiqua" w:hAnsi="Book Antiqua"/>
        </w:rPr>
        <w:t> do seu</w:t>
      </w:r>
      <w:r w:rsidRPr="00AC51D2">
        <w:rPr>
          <w:rFonts w:ascii="Book Antiqua" w:hAnsi="Book Antiqua"/>
          <w:bCs/>
        </w:rPr>
        <w:t> respons</w:t>
      </w:r>
      <w:bookmarkStart w:id="0" w:name="_GoBack"/>
      <w:bookmarkEnd w:id="0"/>
      <w:r w:rsidRPr="00AC51D2">
        <w:rPr>
          <w:rFonts w:ascii="Book Antiqua" w:hAnsi="Book Antiqua"/>
          <w:bCs/>
        </w:rPr>
        <w:t>ável técnico</w:t>
      </w:r>
      <w:r w:rsidRPr="00AC51D2">
        <w:rPr>
          <w:rFonts w:ascii="Book Antiqua" w:hAnsi="Book Antiqua"/>
        </w:rPr>
        <w:t>.</w:t>
      </w:r>
    </w:p>
    <w:p w:rsidR="003F33D0" w:rsidRPr="00AC51D2" w:rsidRDefault="003F33D0" w:rsidP="003F33D0">
      <w:pPr>
        <w:pStyle w:val="PargrafodaLista"/>
        <w:widowControl/>
        <w:numPr>
          <w:ilvl w:val="0"/>
          <w:numId w:val="15"/>
        </w:numPr>
        <w:shd w:val="clear" w:color="auto" w:fill="FFFFFF"/>
        <w:autoSpaceDE/>
        <w:autoSpaceDN/>
        <w:rPr>
          <w:rFonts w:ascii="Book Antiqua" w:hAnsi="Book Antiqua"/>
        </w:rPr>
      </w:pPr>
      <w:r w:rsidRPr="00AC51D2">
        <w:rPr>
          <w:rFonts w:ascii="Book Antiqua" w:hAnsi="Book Antiqua"/>
        </w:rPr>
        <w:t>A empresa especializada para prestar serviços de controle de vetores e pragas urbanas deve possuir também licenças válidas emitidas pelas autoridades sanitária (Vigilância Sanitária) e ambiental (órgão ambiental) competentes ou apresentar comprovante de dispensa das mesmas.</w:t>
      </w:r>
    </w:p>
    <w:p w:rsidR="008F0D2D" w:rsidRDefault="008F0D2D" w:rsidP="008F0D2D">
      <w:pPr>
        <w:rPr>
          <w:rFonts w:ascii="Book Antiqua" w:hAnsi="Book Antiqua"/>
          <w:color w:val="FF0000"/>
          <w:highlight w:val="yellow"/>
        </w:rPr>
      </w:pPr>
    </w:p>
    <w:p w:rsidR="008F0D2D" w:rsidRPr="003F33D0" w:rsidRDefault="008F0D2D" w:rsidP="003F33D0">
      <w:pPr>
        <w:pStyle w:val="PargrafodaLista"/>
        <w:numPr>
          <w:ilvl w:val="0"/>
          <w:numId w:val="15"/>
        </w:numPr>
        <w:rPr>
          <w:rFonts w:ascii="Book Antiqua" w:hAnsi="Book Antiqua"/>
        </w:rPr>
      </w:pPr>
      <w:bookmarkStart w:id="1" w:name="art60iv"/>
      <w:bookmarkEnd w:id="1"/>
      <w:r w:rsidRPr="003F33D0">
        <w:rPr>
          <w:rFonts w:ascii="Book Antiqua" w:hAnsi="Book Antiqua"/>
        </w:rPr>
        <w:t xml:space="preserve">Exclusivamente para critérios de desempate a proponente poderá incluir documentação comprobatória de que possui programa de incentivo </w:t>
      </w:r>
      <w:r w:rsidR="00242D9A" w:rsidRPr="003F33D0">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lastRenderedPageBreak/>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lastRenderedPageBreak/>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lastRenderedPageBreak/>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5B1A45E7"/>
    <w:multiLevelType w:val="hybridMultilevel"/>
    <w:tmpl w:val="BC9666FE"/>
    <w:lvl w:ilvl="0" w:tplc="7138F0A0">
      <w:start w:val="1"/>
      <w:numFmt w:val="lowerLetter"/>
      <w:lvlText w:val="%1)"/>
      <w:lvlJc w:val="left"/>
      <w:pPr>
        <w:ind w:left="720" w:hanging="360"/>
      </w:pPr>
      <w:rPr>
        <w:rFonts w:eastAsia="Calibri" w:cs="Arial"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3"/>
  </w:num>
  <w:num w:numId="12">
    <w:abstractNumId w:val="6"/>
  </w:num>
  <w:num w:numId="13">
    <w:abstractNumId w:val="0"/>
  </w:num>
  <w:num w:numId="14">
    <w:abstractNumId w:val="11"/>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D98"/>
    <w:rsid w:val="00291E39"/>
    <w:rsid w:val="002C0431"/>
    <w:rsid w:val="002D2538"/>
    <w:rsid w:val="002D2BD7"/>
    <w:rsid w:val="002D4BDA"/>
    <w:rsid w:val="003021CF"/>
    <w:rsid w:val="003467E6"/>
    <w:rsid w:val="00387786"/>
    <w:rsid w:val="003879A3"/>
    <w:rsid w:val="003C1DAD"/>
    <w:rsid w:val="003E4978"/>
    <w:rsid w:val="003F33D0"/>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8551B"/>
    <w:rsid w:val="008B487B"/>
    <w:rsid w:val="008B4D52"/>
    <w:rsid w:val="008C6A39"/>
    <w:rsid w:val="008D0C1F"/>
    <w:rsid w:val="008D29EB"/>
    <w:rsid w:val="008F0D2D"/>
    <w:rsid w:val="008F6C62"/>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D7E0E"/>
    <w:rsid w:val="00DE2E22"/>
    <w:rsid w:val="00DE5E24"/>
    <w:rsid w:val="00DE6146"/>
    <w:rsid w:val="00E654A5"/>
    <w:rsid w:val="00E6685B"/>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14:docId w14:val="6EE82A46"/>
  <w15:docId w15:val="{927CDED8-308F-4751-8FBF-91F53B34C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1"/>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2095</Words>
  <Characters>11319</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25</cp:revision>
  <dcterms:created xsi:type="dcterms:W3CDTF">2025-02-27T16:23:00Z</dcterms:created>
  <dcterms:modified xsi:type="dcterms:W3CDTF">2026-07-15T20:31:00Z</dcterms:modified>
</cp:coreProperties>
</file>